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7975" w:rsidRDefault="006906CD" w:rsidP="00E745B5">
      <w:pPr>
        <w:pStyle w:val="Heading1"/>
      </w:pPr>
      <w:r>
        <w:t xml:space="preserve">Birmingham Pub Bombings </w:t>
      </w:r>
      <w:r w:rsidR="00AE2D3A">
        <w:t>Preliminary Research</w:t>
      </w:r>
    </w:p>
    <w:p w:rsidR="00E745B5" w:rsidRDefault="00AE2D3A" w:rsidP="00E745B5">
      <w:r>
        <w:t xml:space="preserve">Birmingham </w:t>
      </w:r>
      <w:r w:rsidR="00E745B5">
        <w:t>Crown Court Trial (1975)</w:t>
      </w:r>
    </w:p>
    <w:p w:rsidR="00AE2D3A" w:rsidRDefault="00AE2D3A" w:rsidP="00AE2D3A">
      <w:pPr>
        <w:pStyle w:val="ListParagraph"/>
        <w:numPr>
          <w:ilvl w:val="0"/>
          <w:numId w:val="7"/>
        </w:numPr>
      </w:pPr>
      <w:r>
        <w:t xml:space="preserve">Background information </w:t>
      </w:r>
    </w:p>
    <w:p w:rsidR="00CF7571" w:rsidRDefault="00AE2D3A" w:rsidP="00CF7571">
      <w:pPr>
        <w:pStyle w:val="ListParagraph"/>
        <w:numPr>
          <w:ilvl w:val="1"/>
          <w:numId w:val="7"/>
        </w:numPr>
      </w:pPr>
      <w:r>
        <w:t>Following the Birmingham Pub Bombings, five Irishman were arrested whilst traveling via train out of Birmingham</w:t>
      </w:r>
      <w:r w:rsidR="00CF7571">
        <w:t xml:space="preserve">. </w:t>
      </w:r>
      <w:r w:rsidR="00CF7571">
        <w:t>A sixth man was arrested shortly after in Birmingham.</w:t>
      </w:r>
      <w:r w:rsidR="00CF7571">
        <w:t xml:space="preserve"> All six men had a history of IRA support and a previous criminal record. </w:t>
      </w:r>
    </w:p>
    <w:p w:rsidR="0046079B" w:rsidRDefault="0046079B" w:rsidP="0046079B">
      <w:pPr>
        <w:pStyle w:val="ListParagraph"/>
        <w:numPr>
          <w:ilvl w:val="0"/>
          <w:numId w:val="7"/>
        </w:numPr>
      </w:pPr>
      <w:r>
        <w:t xml:space="preserve">Confessions </w:t>
      </w:r>
    </w:p>
    <w:p w:rsidR="0046079B" w:rsidRDefault="0046079B" w:rsidP="0046079B">
      <w:pPr>
        <w:pStyle w:val="ListParagraph"/>
        <w:numPr>
          <w:ilvl w:val="1"/>
          <w:numId w:val="7"/>
        </w:numPr>
      </w:pPr>
      <w:r>
        <w:t>All six men were coerced into confessions, according to their personal accounts, through extensive physical violence expressed by the arresting police department, in addition to emotional and verbal manipulation tactics</w:t>
      </w:r>
    </w:p>
    <w:p w:rsidR="0046079B" w:rsidRDefault="0046079B" w:rsidP="0046079B">
      <w:pPr>
        <w:pStyle w:val="ListParagraph"/>
        <w:numPr>
          <w:ilvl w:val="2"/>
          <w:numId w:val="7"/>
        </w:numPr>
      </w:pPr>
      <w:r>
        <w:t xml:space="preserve">It was decided at the trial that the men were lying about the threat of violence inflicted upon them </w:t>
      </w:r>
    </w:p>
    <w:p w:rsidR="00E745B5" w:rsidRDefault="00AE2D3A" w:rsidP="00E745B5">
      <w:r>
        <w:t xml:space="preserve">Birmingham </w:t>
      </w:r>
      <w:r w:rsidR="00E745B5">
        <w:t xml:space="preserve">Crown Court Trial Appeals </w:t>
      </w:r>
    </w:p>
    <w:p w:rsidR="00957B2E" w:rsidRDefault="00957B2E" w:rsidP="00957B2E">
      <w:pPr>
        <w:pStyle w:val="ListParagraph"/>
        <w:numPr>
          <w:ilvl w:val="0"/>
          <w:numId w:val="7"/>
        </w:numPr>
      </w:pPr>
      <w:r>
        <w:t xml:space="preserve">1976 all six men appealed </w:t>
      </w:r>
    </w:p>
    <w:p w:rsidR="00957B2E" w:rsidRDefault="00957B2E" w:rsidP="00957B2E">
      <w:pPr>
        <w:pStyle w:val="ListParagraph"/>
        <w:numPr>
          <w:ilvl w:val="1"/>
          <w:numId w:val="7"/>
        </w:numPr>
      </w:pPr>
      <w:r>
        <w:t xml:space="preserve">Appeal was rejected </w:t>
      </w:r>
    </w:p>
    <w:p w:rsidR="00957B2E" w:rsidRDefault="00957B2E" w:rsidP="00957B2E">
      <w:pPr>
        <w:pStyle w:val="ListParagraph"/>
        <w:numPr>
          <w:ilvl w:val="0"/>
          <w:numId w:val="7"/>
        </w:numPr>
      </w:pPr>
      <w:r>
        <w:t>1981 all six men sued West Midland Police for violent injuries sustained to them from the department during the investigation</w:t>
      </w:r>
    </w:p>
    <w:p w:rsidR="00957B2E" w:rsidRDefault="00957B2E" w:rsidP="00957B2E">
      <w:pPr>
        <w:pStyle w:val="ListParagraph"/>
        <w:numPr>
          <w:ilvl w:val="1"/>
          <w:numId w:val="7"/>
        </w:numPr>
      </w:pPr>
      <w:r>
        <w:t xml:space="preserve">Thrown out by Lord Denning </w:t>
      </w:r>
    </w:p>
    <w:p w:rsidR="00957B2E" w:rsidRDefault="00957B2E" w:rsidP="00957B2E">
      <w:pPr>
        <w:pStyle w:val="ListParagraph"/>
        <w:numPr>
          <w:ilvl w:val="0"/>
          <w:numId w:val="7"/>
        </w:numPr>
      </w:pPr>
      <w:r>
        <w:t>1987, following new scientific evidentiary discoveries, the Home Secretary referred the case back to the Court of Appeals</w:t>
      </w:r>
    </w:p>
    <w:p w:rsidR="00957B2E" w:rsidRDefault="00957B2E" w:rsidP="00957B2E">
      <w:pPr>
        <w:pStyle w:val="ListParagraph"/>
        <w:numPr>
          <w:ilvl w:val="1"/>
          <w:numId w:val="7"/>
        </w:numPr>
      </w:pPr>
      <w:r>
        <w:t>Continued to uphold the original conviction decisions</w:t>
      </w:r>
    </w:p>
    <w:p w:rsidR="00957B2E" w:rsidRDefault="00957B2E" w:rsidP="00957B2E">
      <w:pPr>
        <w:pStyle w:val="ListParagraph"/>
        <w:numPr>
          <w:ilvl w:val="0"/>
          <w:numId w:val="7"/>
        </w:numPr>
      </w:pPr>
      <w:r>
        <w:t xml:space="preserve">1991, following </w:t>
      </w:r>
      <w:r w:rsidR="00CD50EC">
        <w:t>the new evidence of the original police notes had been ‘extensively re-written’ (Archives Hub)</w:t>
      </w:r>
    </w:p>
    <w:p w:rsidR="00CD50EC" w:rsidRDefault="00CD50EC" w:rsidP="00CD50EC">
      <w:pPr>
        <w:pStyle w:val="ListParagraph"/>
        <w:numPr>
          <w:ilvl w:val="1"/>
          <w:numId w:val="7"/>
        </w:numPr>
      </w:pPr>
      <w:r>
        <w:t>Men were finally freed and absolved of all convictions</w:t>
      </w:r>
    </w:p>
    <w:p w:rsidR="00E745B5" w:rsidRDefault="00E745B5" w:rsidP="00E745B5">
      <w:r>
        <w:lastRenderedPageBreak/>
        <w:t xml:space="preserve">Government/Political Interference </w:t>
      </w:r>
    </w:p>
    <w:p w:rsidR="00E745B5" w:rsidRDefault="00E745B5" w:rsidP="00E745B5">
      <w:pPr>
        <w:pStyle w:val="ListParagraph"/>
        <w:numPr>
          <w:ilvl w:val="0"/>
          <w:numId w:val="6"/>
        </w:numPr>
      </w:pPr>
      <w:r>
        <w:t xml:space="preserve">West Midlands </w:t>
      </w:r>
      <w:r w:rsidR="00AE2D3A">
        <w:t xml:space="preserve">Police </w:t>
      </w:r>
    </w:p>
    <w:p w:rsidR="00AE2D3A" w:rsidRDefault="00AE2D3A" w:rsidP="00AE2D3A">
      <w:pPr>
        <w:pStyle w:val="ListParagraph"/>
        <w:numPr>
          <w:ilvl w:val="1"/>
          <w:numId w:val="6"/>
        </w:numPr>
      </w:pPr>
      <w:proofErr w:type="spellStart"/>
      <w:r>
        <w:t>Morecambe</w:t>
      </w:r>
      <w:proofErr w:type="spellEnd"/>
      <w:r w:rsidR="00CF7571">
        <w:t xml:space="preserve">/Lancashire </w:t>
      </w:r>
      <w:r>
        <w:t xml:space="preserve">Police Station </w:t>
      </w:r>
    </w:p>
    <w:p w:rsidR="00AE2D3A" w:rsidRDefault="00CF7571" w:rsidP="00AE2D3A">
      <w:pPr>
        <w:pStyle w:val="ListParagraph"/>
        <w:numPr>
          <w:ilvl w:val="2"/>
          <w:numId w:val="6"/>
        </w:numPr>
      </w:pPr>
      <w:r>
        <w:t>Falsified evidence throughout investigation and interrogation</w:t>
      </w:r>
    </w:p>
    <w:p w:rsidR="0046079B" w:rsidRDefault="00CF7571" w:rsidP="00CF7571">
      <w:pPr>
        <w:pStyle w:val="ListParagraph"/>
        <w:numPr>
          <w:ilvl w:val="3"/>
          <w:numId w:val="6"/>
        </w:numPr>
      </w:pPr>
      <w:r>
        <w:t>Officers offered tobacco for cigarettes to two of the men</w:t>
      </w:r>
      <w:r w:rsidR="0046079B">
        <w:t>, Power and Hill,</w:t>
      </w:r>
      <w:r>
        <w:t xml:space="preserve"> outside of the police station around 6:00am the morning following the bombings and proceeded to then </w:t>
      </w:r>
      <w:r w:rsidR="0046079B">
        <w:t xml:space="preserve">perform a Griess </w:t>
      </w:r>
      <w:r>
        <w:t>test swab their hands for the presence of Nitrate around 6:30am</w:t>
      </w:r>
    </w:p>
    <w:p w:rsidR="00CF7571" w:rsidRDefault="00CF7571" w:rsidP="0046079B">
      <w:pPr>
        <w:pStyle w:val="ListParagraph"/>
        <w:numPr>
          <w:ilvl w:val="4"/>
          <w:numId w:val="6"/>
        </w:numPr>
      </w:pPr>
      <w:r>
        <w:t xml:space="preserve">The results </w:t>
      </w:r>
      <w:r w:rsidR="0046079B">
        <w:t xml:space="preserve">of the two men offered cigarettes </w:t>
      </w:r>
      <w:r>
        <w:t>were deemed positive</w:t>
      </w:r>
      <w:r w:rsidR="007379F8">
        <w:t xml:space="preserve"> (see test result table on figure 2) </w:t>
      </w:r>
    </w:p>
    <w:p w:rsidR="00CF7571" w:rsidRDefault="00CF7571" w:rsidP="00CF7571">
      <w:pPr>
        <w:pStyle w:val="ListParagraph"/>
        <w:numPr>
          <w:ilvl w:val="4"/>
          <w:numId w:val="6"/>
        </w:numPr>
      </w:pPr>
      <w:r>
        <w:t xml:space="preserve">Following further investigation at off-site expert facilities, no confirmation was given </w:t>
      </w:r>
      <w:r w:rsidR="0046079B">
        <w:t>on the hand samples in regards to being positive for explosive material</w:t>
      </w:r>
    </w:p>
    <w:p w:rsidR="0046079B" w:rsidRDefault="0046079B" w:rsidP="0046079B">
      <w:pPr>
        <w:pStyle w:val="ListParagraph"/>
        <w:numPr>
          <w:ilvl w:val="5"/>
          <w:numId w:val="6"/>
        </w:numPr>
      </w:pPr>
      <w:r>
        <w:t xml:space="preserve">‘Mr. John </w:t>
      </w:r>
      <w:proofErr w:type="spellStart"/>
      <w:r>
        <w:t>Yallop</w:t>
      </w:r>
      <w:proofErr w:type="spellEnd"/>
      <w:r>
        <w:t xml:space="preserve">, </w:t>
      </w:r>
      <w:r w:rsidR="007379F8">
        <w:t>forensic chemist who testifies in explosives cases</w:t>
      </w:r>
      <w:r>
        <w:t xml:space="preserve">, deemed these tests inconclusive </w:t>
      </w:r>
      <w:r w:rsidR="007379F8">
        <w:t xml:space="preserve">and has reservations regarding the evidence against the accused </w:t>
      </w:r>
    </w:p>
    <w:p w:rsidR="0046079B" w:rsidRDefault="0046079B" w:rsidP="0046079B">
      <w:pPr>
        <w:pStyle w:val="ListParagraph"/>
        <w:numPr>
          <w:ilvl w:val="4"/>
          <w:numId w:val="6"/>
        </w:numPr>
      </w:pPr>
      <w:r>
        <w:t xml:space="preserve">It was concluded following this, that these same compounds that were tested, we found to be in tobacco smoke </w:t>
      </w:r>
    </w:p>
    <w:p w:rsidR="007379F8" w:rsidRDefault="007379F8" w:rsidP="0046079B">
      <w:pPr>
        <w:pStyle w:val="ListParagraph"/>
        <w:numPr>
          <w:ilvl w:val="4"/>
          <w:numId w:val="6"/>
        </w:numPr>
      </w:pPr>
      <w:r>
        <w:t xml:space="preserve">No conflicting variables of the tests conducted on the six men were brought up in the trails, they were taken at face value as positive tests </w:t>
      </w:r>
    </w:p>
    <w:p w:rsidR="00CF7571" w:rsidRDefault="00CF7571" w:rsidP="00CF7571">
      <w:pPr>
        <w:pStyle w:val="ListParagraph"/>
        <w:numPr>
          <w:ilvl w:val="3"/>
          <w:numId w:val="6"/>
        </w:numPr>
      </w:pPr>
      <w:r>
        <w:t xml:space="preserve">The above information, in combination with physical violence, was used to manipulate and </w:t>
      </w:r>
      <w:r>
        <w:lastRenderedPageBreak/>
        <w:t xml:space="preserve">coerce </w:t>
      </w:r>
      <w:r w:rsidR="0046079B">
        <w:t xml:space="preserve">all six of </w:t>
      </w:r>
      <w:r>
        <w:t>the men into signing confessions</w:t>
      </w:r>
      <w:r w:rsidR="0046079B">
        <w:t xml:space="preserve"> </w:t>
      </w:r>
    </w:p>
    <w:p w:rsidR="00E745B5" w:rsidRDefault="0046079B" w:rsidP="00CD50EC">
      <w:pPr>
        <w:pStyle w:val="ListParagraph"/>
        <w:numPr>
          <w:ilvl w:val="3"/>
          <w:numId w:val="6"/>
        </w:numPr>
      </w:pPr>
      <w:r>
        <w:t xml:space="preserve">Following the confessions, they were then beaten again upon entering </w:t>
      </w:r>
      <w:r w:rsidR="007379F8">
        <w:t xml:space="preserve">the prison system by the wardens </w:t>
      </w:r>
    </w:p>
    <w:p w:rsidR="00E745B5" w:rsidRDefault="00E745B5" w:rsidP="00E745B5">
      <w:r>
        <w:t xml:space="preserve">Conviction Conclusion </w:t>
      </w:r>
    </w:p>
    <w:p w:rsidR="007379F8" w:rsidRDefault="00CD50EC" w:rsidP="00CD50EC">
      <w:pPr>
        <w:pStyle w:val="ListParagraph"/>
        <w:numPr>
          <w:ilvl w:val="0"/>
          <w:numId w:val="6"/>
        </w:numPr>
      </w:pPr>
      <w:r>
        <w:t>Given the testimonies of coercion, violence and manipulation, in conjunction with the inconclusive and conflicting forensic evidence proposed within the trail and in the subsequent appeals, the six men should have never been convicted</w:t>
      </w:r>
    </w:p>
    <w:p w:rsidR="00CD50EC" w:rsidRDefault="00CD50EC" w:rsidP="00CD50EC">
      <w:pPr>
        <w:pStyle w:val="ListParagraph"/>
        <w:numPr>
          <w:ilvl w:val="0"/>
          <w:numId w:val="6"/>
        </w:numPr>
      </w:pPr>
      <w:r>
        <w:t>Clear police corruption has been involved within every aspect of this case</w:t>
      </w:r>
    </w:p>
    <w:p w:rsidR="007379F8" w:rsidRDefault="007379F8" w:rsidP="00E745B5"/>
    <w:p w:rsidR="007379F8" w:rsidRDefault="007379F8" w:rsidP="00E745B5"/>
    <w:p w:rsidR="00CD50EC" w:rsidRDefault="00CD50EC" w:rsidP="00E745B5"/>
    <w:p w:rsidR="00CD50EC" w:rsidRDefault="00CD50EC" w:rsidP="00E745B5"/>
    <w:p w:rsidR="00CD50EC" w:rsidRDefault="00CD50EC" w:rsidP="00E745B5"/>
    <w:p w:rsidR="00CD50EC" w:rsidRDefault="00CD50EC" w:rsidP="00E745B5"/>
    <w:p w:rsidR="00CD50EC" w:rsidRDefault="00CD50EC" w:rsidP="00E745B5"/>
    <w:p w:rsidR="00CD50EC" w:rsidRDefault="00CD50EC" w:rsidP="00E745B5"/>
    <w:p w:rsidR="00CD50EC" w:rsidRDefault="00CD50EC" w:rsidP="00E745B5"/>
    <w:p w:rsidR="00CD50EC" w:rsidRDefault="00CD50EC" w:rsidP="00E745B5"/>
    <w:p w:rsidR="00CD50EC" w:rsidRDefault="00CD50EC" w:rsidP="00E745B5"/>
    <w:p w:rsidR="00CD50EC" w:rsidRDefault="00CD50EC" w:rsidP="00E745B5"/>
    <w:p w:rsidR="00CD50EC" w:rsidRDefault="00CD50EC" w:rsidP="00E745B5"/>
    <w:p w:rsidR="00CD50EC" w:rsidRDefault="00CD50EC" w:rsidP="00E745B5"/>
    <w:p w:rsidR="00CD50EC" w:rsidRDefault="00CD50EC" w:rsidP="00E745B5">
      <w:bookmarkStart w:id="0" w:name="_GoBack"/>
      <w:bookmarkEnd w:id="0"/>
    </w:p>
    <w:p w:rsidR="007379F8" w:rsidRDefault="007379F8" w:rsidP="00E745B5"/>
    <w:p w:rsidR="007379F8" w:rsidRDefault="007379F8" w:rsidP="00957B2E">
      <w:pPr>
        <w:jc w:val="center"/>
      </w:pPr>
      <w:r>
        <w:lastRenderedPageBreak/>
        <w:t>Figures:</w:t>
      </w:r>
    </w:p>
    <w:p w:rsidR="007379F8" w:rsidRDefault="007379F8" w:rsidP="00E745B5">
      <w:r>
        <w:rPr>
          <w:noProof/>
        </w:rPr>
        <w:drawing>
          <wp:inline distT="0" distB="0" distL="0" distR="0">
            <wp:extent cx="5448300" cy="34051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04-04 at 10.10.36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58167" cy="3411355"/>
                    </a:xfrm>
                    <a:prstGeom prst="rect">
                      <a:avLst/>
                    </a:prstGeom>
                  </pic:spPr>
                </pic:pic>
              </a:graphicData>
            </a:graphic>
          </wp:inline>
        </w:drawing>
      </w:r>
    </w:p>
    <w:p w:rsidR="00957B2E" w:rsidRPr="00957B2E" w:rsidRDefault="007379F8" w:rsidP="00957B2E">
      <w:pPr>
        <w:rPr>
          <w:sz w:val="20"/>
          <w:szCs w:val="20"/>
        </w:rPr>
      </w:pPr>
      <w:r w:rsidRPr="00957B2E">
        <w:rPr>
          <w:sz w:val="20"/>
          <w:szCs w:val="20"/>
        </w:rPr>
        <w:t>Figure 1</w:t>
      </w:r>
      <w:r w:rsidR="00957B2E" w:rsidRPr="00957B2E">
        <w:rPr>
          <w:sz w:val="20"/>
          <w:szCs w:val="20"/>
        </w:rPr>
        <w:t xml:space="preserve"> </w:t>
      </w:r>
      <w:r w:rsidR="00957B2E">
        <w:rPr>
          <w:sz w:val="20"/>
          <w:szCs w:val="20"/>
        </w:rPr>
        <w:t xml:space="preserve">- </w:t>
      </w:r>
      <w:r w:rsidR="00957B2E" w:rsidRPr="00957B2E">
        <w:rPr>
          <w:sz w:val="20"/>
          <w:szCs w:val="20"/>
        </w:rPr>
        <w:t xml:space="preserve">Source: </w:t>
      </w:r>
    </w:p>
    <w:p w:rsidR="00957B2E" w:rsidRPr="00957B2E" w:rsidRDefault="00957B2E" w:rsidP="00E745B5">
      <w:pPr>
        <w:rPr>
          <w:sz w:val="20"/>
          <w:szCs w:val="20"/>
        </w:rPr>
      </w:pPr>
      <w:r w:rsidRPr="00957B2E">
        <w:rPr>
          <w:i/>
          <w:iCs/>
          <w:sz w:val="20"/>
          <w:szCs w:val="20"/>
        </w:rPr>
        <w:t>The Birmingham Pub Bombing Case Synopsis of the forensic evidence</w:t>
      </w:r>
      <w:r w:rsidRPr="00957B2E">
        <w:rPr>
          <w:sz w:val="20"/>
          <w:szCs w:val="20"/>
        </w:rPr>
        <w:t xml:space="preserve">. Imperial War Museums. (n.d.). Retrieved April 4, 2022, from https://www.iwm.org.uk/collections/item/object/1500051326 </w:t>
      </w:r>
    </w:p>
    <w:p w:rsidR="007379F8" w:rsidRDefault="007379F8" w:rsidP="00E745B5">
      <w:r>
        <w:rPr>
          <w:noProof/>
        </w:rPr>
        <w:drawing>
          <wp:inline distT="0" distB="0" distL="0" distR="0">
            <wp:extent cx="5100320" cy="31877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4-04 at 10.11.00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0826" cy="3188016"/>
                    </a:xfrm>
                    <a:prstGeom prst="rect">
                      <a:avLst/>
                    </a:prstGeom>
                  </pic:spPr>
                </pic:pic>
              </a:graphicData>
            </a:graphic>
          </wp:inline>
        </w:drawing>
      </w:r>
    </w:p>
    <w:p w:rsidR="00957B2E" w:rsidRPr="00957B2E" w:rsidRDefault="007379F8" w:rsidP="00957B2E">
      <w:pPr>
        <w:rPr>
          <w:sz w:val="20"/>
          <w:szCs w:val="20"/>
        </w:rPr>
      </w:pPr>
      <w:r w:rsidRPr="00957B2E">
        <w:rPr>
          <w:sz w:val="20"/>
          <w:szCs w:val="20"/>
        </w:rPr>
        <w:t>Figure 2</w:t>
      </w:r>
      <w:r w:rsidR="00957B2E">
        <w:rPr>
          <w:sz w:val="20"/>
          <w:szCs w:val="20"/>
        </w:rPr>
        <w:t xml:space="preserve"> - </w:t>
      </w:r>
      <w:r w:rsidR="00957B2E" w:rsidRPr="00957B2E">
        <w:rPr>
          <w:sz w:val="20"/>
          <w:szCs w:val="20"/>
        </w:rPr>
        <w:t xml:space="preserve">Source: </w:t>
      </w:r>
    </w:p>
    <w:p w:rsidR="007379F8" w:rsidRDefault="00957B2E" w:rsidP="00E745B5">
      <w:pPr>
        <w:rPr>
          <w:sz w:val="20"/>
          <w:szCs w:val="20"/>
        </w:rPr>
      </w:pPr>
      <w:r w:rsidRPr="00957B2E">
        <w:rPr>
          <w:i/>
          <w:iCs/>
          <w:sz w:val="20"/>
          <w:szCs w:val="20"/>
        </w:rPr>
        <w:t>The Birmingham Pub Bombing Case Synopsis of the forensic evidence</w:t>
      </w:r>
      <w:r w:rsidRPr="00957B2E">
        <w:rPr>
          <w:sz w:val="20"/>
          <w:szCs w:val="20"/>
        </w:rPr>
        <w:t xml:space="preserve">. Imperial War Museums. (n.d.). Retrieved April 4, 2022, from https://www.iwm.org.uk/collections/item/object/1500051326 </w:t>
      </w:r>
    </w:p>
    <w:p w:rsidR="00957B2E" w:rsidRDefault="00957B2E" w:rsidP="00957B2E">
      <w:pPr>
        <w:jc w:val="center"/>
      </w:pPr>
      <w:r>
        <w:lastRenderedPageBreak/>
        <w:t>Sources</w:t>
      </w:r>
    </w:p>
    <w:p w:rsidR="00CD50EC" w:rsidRPr="00CD50EC" w:rsidRDefault="00CD50EC" w:rsidP="00CD50EC">
      <w:pPr>
        <w:pStyle w:val="ListBullet"/>
        <w:rPr>
          <w:sz w:val="20"/>
          <w:szCs w:val="20"/>
        </w:rPr>
      </w:pPr>
      <w:r w:rsidRPr="00CD50EC">
        <w:rPr>
          <w:i/>
          <w:iCs/>
          <w:sz w:val="20"/>
          <w:szCs w:val="20"/>
        </w:rPr>
        <w:t>Birmingham Six Case</w:t>
      </w:r>
      <w:r w:rsidRPr="00CD50EC">
        <w:rPr>
          <w:sz w:val="20"/>
          <w:szCs w:val="20"/>
        </w:rPr>
        <w:t xml:space="preserve">. Miscarriages of Justice Campaigning - Records of Chris Mullin MP - Archives Hub. (n.d.). Retrieved April 4, 2022, from https://archiveshub.jisc.ac.uk/search/archives/60bbc820-ba84-32cc-bfea-92eb25b48028?component=fbe3b34b-f226-3abf-b5b1-e81bde8005e2 </w:t>
      </w:r>
    </w:p>
    <w:p w:rsidR="00CD50EC" w:rsidRPr="00CD50EC" w:rsidRDefault="00CD50EC" w:rsidP="00CD50EC">
      <w:pPr>
        <w:numPr>
          <w:ilvl w:val="0"/>
          <w:numId w:val="3"/>
        </w:numPr>
        <w:tabs>
          <w:tab w:val="clear" w:pos="432"/>
        </w:tabs>
        <w:rPr>
          <w:sz w:val="20"/>
          <w:szCs w:val="20"/>
        </w:rPr>
      </w:pPr>
      <w:r w:rsidRPr="00CD50EC">
        <w:rPr>
          <w:sz w:val="20"/>
          <w:szCs w:val="20"/>
        </w:rPr>
        <w:t xml:space="preserve">Guardian News and Media. (2011, March 12). </w:t>
      </w:r>
      <w:r w:rsidRPr="00CD50EC">
        <w:rPr>
          <w:i/>
          <w:iCs/>
          <w:sz w:val="20"/>
          <w:szCs w:val="20"/>
        </w:rPr>
        <w:t xml:space="preserve">The </w:t>
      </w:r>
      <w:proofErr w:type="spellStart"/>
      <w:r w:rsidRPr="00CD50EC">
        <w:rPr>
          <w:i/>
          <w:iCs/>
          <w:sz w:val="20"/>
          <w:szCs w:val="20"/>
        </w:rPr>
        <w:t>birmingham</w:t>
      </w:r>
      <w:proofErr w:type="spellEnd"/>
      <w:r w:rsidRPr="00CD50EC">
        <w:rPr>
          <w:i/>
          <w:iCs/>
          <w:sz w:val="20"/>
          <w:szCs w:val="20"/>
        </w:rPr>
        <w:t xml:space="preserve"> Six: Have we learned from our disgraceful past?</w:t>
      </w:r>
      <w:r w:rsidRPr="00CD50EC">
        <w:rPr>
          <w:sz w:val="20"/>
          <w:szCs w:val="20"/>
        </w:rPr>
        <w:t xml:space="preserve"> The Guardian. Retrieved April 4, 2022, from https://www.theguardian.com/theguardian/2011/mar/12/gareth-peirce-birmingham-six </w:t>
      </w:r>
    </w:p>
    <w:p w:rsidR="00957B2E" w:rsidRPr="00957B2E" w:rsidRDefault="00957B2E" w:rsidP="00CD50EC"/>
    <w:p w:rsidR="007379F8" w:rsidRDefault="007379F8" w:rsidP="00E745B5"/>
    <w:p w:rsidR="00E745B5" w:rsidRDefault="00E745B5" w:rsidP="00E745B5"/>
    <w:p w:rsidR="00E745B5" w:rsidRPr="00E745B5" w:rsidRDefault="00E745B5" w:rsidP="00E745B5"/>
    <w:sectPr w:rsidR="00E745B5" w:rsidRPr="00E745B5">
      <w:footerReference w:type="default" r:id="rId9"/>
      <w:pgSz w:w="12240" w:h="15840"/>
      <w:pgMar w:top="720" w:right="1440" w:bottom="18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7238" w:rsidRDefault="00007238">
      <w:r>
        <w:separator/>
      </w:r>
    </w:p>
    <w:p w:rsidR="00007238" w:rsidRDefault="00007238"/>
  </w:endnote>
  <w:endnote w:type="continuationSeparator" w:id="0">
    <w:p w:rsidR="00007238" w:rsidRDefault="00007238">
      <w:r>
        <w:continuationSeparator/>
      </w:r>
    </w:p>
    <w:p w:rsidR="00007238" w:rsidRDefault="000072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699706"/>
      <w:docPartObj>
        <w:docPartGallery w:val="Page Numbers (Bottom of Page)"/>
        <w:docPartUnique/>
      </w:docPartObj>
    </w:sdtPr>
    <w:sdtEndPr>
      <w:rPr>
        <w:noProof/>
      </w:rPr>
    </w:sdtEndPr>
    <w:sdtContent>
      <w:p w:rsidR="00E17975" w:rsidRDefault="0000723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7238" w:rsidRDefault="00007238">
      <w:r>
        <w:separator/>
      </w:r>
    </w:p>
    <w:p w:rsidR="00007238" w:rsidRDefault="00007238"/>
  </w:footnote>
  <w:footnote w:type="continuationSeparator" w:id="0">
    <w:p w:rsidR="00007238" w:rsidRDefault="00007238">
      <w:r>
        <w:continuationSeparator/>
      </w:r>
    </w:p>
    <w:p w:rsidR="00007238" w:rsidRDefault="0000723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30A86D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682D6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D895889"/>
    <w:multiLevelType w:val="hybridMultilevel"/>
    <w:tmpl w:val="7B1A2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906CDF"/>
    <w:multiLevelType w:val="hybridMultilevel"/>
    <w:tmpl w:val="9E244A1C"/>
    <w:lvl w:ilvl="0" w:tplc="A78AD9E8">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4A4656"/>
    <w:multiLevelType w:val="hybridMultilevel"/>
    <w:tmpl w:val="455C4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1F2908"/>
    <w:multiLevelType w:val="hybridMultilevel"/>
    <w:tmpl w:val="85A6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AB4355"/>
    <w:multiLevelType w:val="hybridMultilevel"/>
    <w:tmpl w:val="0B203272"/>
    <w:lvl w:ilvl="0" w:tplc="CE0E85FE">
      <w:start w:val="1"/>
      <w:numFmt w:val="decimal"/>
      <w:pStyle w:val="ListNumber"/>
      <w:lvlText w:val="%1."/>
      <w:lvlJc w:val="left"/>
      <w:pPr>
        <w:tabs>
          <w:tab w:val="num" w:pos="432"/>
        </w:tabs>
        <w:ind w:left="432" w:hanging="432"/>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3"/>
  </w:num>
  <w:num w:numId="4">
    <w:abstractNumId w:val="6"/>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6CD"/>
    <w:rsid w:val="00007238"/>
    <w:rsid w:val="0046079B"/>
    <w:rsid w:val="006906CD"/>
    <w:rsid w:val="007379F8"/>
    <w:rsid w:val="00957B2E"/>
    <w:rsid w:val="00AE2D3A"/>
    <w:rsid w:val="00CD50EC"/>
    <w:rsid w:val="00CF7571"/>
    <w:rsid w:val="00E17975"/>
    <w:rsid w:val="00E34F3B"/>
    <w:rsid w:val="00E74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CD83C"/>
  <w15:chartTrackingRefBased/>
  <w15:docId w15:val="{E98B2E29-F5EC-4047-9172-03F205C79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30"/>
        <w:szCs w:val="30"/>
        <w:lang w:val="en-US" w:eastAsia="ja-JP" w:bidi="ar-SA"/>
      </w:rPr>
    </w:rPrDefault>
    <w:pPrDefault>
      <w:pPr>
        <w:spacing w:after="12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12" w:space="12" w:color="B9A489" w:themeColor="accent4"/>
      </w:pBdr>
      <w:spacing w:before="460" w:after="480"/>
      <w:outlineLvl w:val="0"/>
    </w:pPr>
    <w:rPr>
      <w:rFonts w:asciiTheme="majorHAnsi" w:eastAsiaTheme="majorEastAsia" w:hAnsiTheme="majorHAnsi" w:cstheme="majorBidi"/>
      <w:color w:val="6F6F74" w:themeColor="accent1"/>
      <w:sz w:val="40"/>
      <w:szCs w:val="32"/>
    </w:rPr>
  </w:style>
  <w:style w:type="paragraph" w:styleId="Heading2">
    <w:name w:val="heading 2"/>
    <w:basedOn w:val="Normal"/>
    <w:next w:val="Normal"/>
    <w:link w:val="Heading2Char"/>
    <w:uiPriority w:val="9"/>
    <w:unhideWhenUsed/>
    <w:qFormat/>
    <w:pPr>
      <w:keepNext/>
      <w:keepLines/>
      <w:spacing w:before="460"/>
      <w:outlineLvl w:val="1"/>
    </w:pPr>
    <w:rPr>
      <w:rFonts w:asciiTheme="majorHAnsi" w:eastAsiaTheme="majorEastAsia" w:hAnsiTheme="majorHAnsi" w:cstheme="majorBidi"/>
      <w:b/>
      <w:color w:val="7F7F7F" w:themeColor="text1" w:themeTint="80"/>
      <w:szCs w:val="26"/>
    </w:rPr>
  </w:style>
  <w:style w:type="paragraph" w:styleId="Heading3">
    <w:name w:val="heading 3"/>
    <w:basedOn w:val="Normal"/>
    <w:next w:val="Normal"/>
    <w:link w:val="Heading3Char"/>
    <w:uiPriority w:val="9"/>
    <w:semiHidden/>
    <w:unhideWhenUsed/>
    <w:qFormat/>
    <w:pPr>
      <w:keepNext/>
      <w:keepLines/>
      <w:spacing w:before="460"/>
      <w:outlineLvl w:val="2"/>
    </w:pPr>
    <w:rPr>
      <w:rFonts w:asciiTheme="majorHAnsi" w:eastAsiaTheme="majorEastAsia" w:hAnsiTheme="majorHAnsi" w:cstheme="majorBidi"/>
      <w:sz w:val="40"/>
      <w:szCs w:val="24"/>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3"/>
      </w:numPr>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6F6F74" w:themeColor="accent1"/>
      <w:sz w:val="40"/>
      <w:szCs w:val="32"/>
    </w:rPr>
  </w:style>
  <w:style w:type="paragraph" w:styleId="ListNumber">
    <w:name w:val="List Number"/>
    <w:basedOn w:val="Normal"/>
    <w:uiPriority w:val="9"/>
    <w:qFormat/>
    <w:pPr>
      <w:numPr>
        <w:numId w:val="4"/>
      </w:numPr>
    </w:p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line="240" w:lineRule="auto"/>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7F7F7F" w:themeColor="text1" w:themeTint="8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line="240" w:lineRule="auto"/>
    </w:pPr>
    <w:rPr>
      <w:i/>
      <w:iCs/>
      <w:sz w:val="24"/>
      <w:szCs w:val="18"/>
    </w:rPr>
  </w:style>
  <w:style w:type="paragraph" w:styleId="TOCHeading">
    <w:name w:val="TOC Heading"/>
    <w:basedOn w:val="Heading1"/>
    <w:next w:val="Normal"/>
    <w:uiPriority w:val="39"/>
    <w:semiHidden/>
    <w:unhideWhenUsed/>
    <w:qFormat/>
    <w:pPr>
      <w:outlineLvl w:val="9"/>
    </w:pPr>
  </w:style>
  <w:style w:type="character" w:styleId="Hyperlink">
    <w:name w:val="Hyperlink"/>
    <w:basedOn w:val="DefaultParagraphFont"/>
    <w:uiPriority w:val="99"/>
    <w:unhideWhenUsed/>
    <w:rPr>
      <w:color w:val="67AABF" w:themeColor="hyperlink"/>
      <w:u w:val="single"/>
    </w:rPr>
  </w:style>
  <w:style w:type="paragraph" w:styleId="ListParagraph">
    <w:name w:val="List Paragraph"/>
    <w:basedOn w:val="Normal"/>
    <w:uiPriority w:val="34"/>
    <w:unhideWhenUsed/>
    <w:qFormat/>
    <w:rsid w:val="00E745B5"/>
    <w:pPr>
      <w:ind w:left="720"/>
      <w:contextualSpacing/>
    </w:pPr>
  </w:style>
  <w:style w:type="paragraph" w:styleId="NormalWeb">
    <w:name w:val="Normal (Web)"/>
    <w:basedOn w:val="Normal"/>
    <w:uiPriority w:val="99"/>
    <w:semiHidden/>
    <w:unhideWhenUsed/>
    <w:rsid w:val="00957B2E"/>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144258">
      <w:bodyDiv w:val="1"/>
      <w:marLeft w:val="0"/>
      <w:marRight w:val="0"/>
      <w:marTop w:val="0"/>
      <w:marBottom w:val="0"/>
      <w:divBdr>
        <w:top w:val="none" w:sz="0" w:space="0" w:color="auto"/>
        <w:left w:val="none" w:sz="0" w:space="0" w:color="auto"/>
        <w:bottom w:val="none" w:sz="0" w:space="0" w:color="auto"/>
        <w:right w:val="none" w:sz="0" w:space="0" w:color="auto"/>
      </w:divBdr>
    </w:div>
    <w:div w:id="558709864">
      <w:bodyDiv w:val="1"/>
      <w:marLeft w:val="0"/>
      <w:marRight w:val="0"/>
      <w:marTop w:val="0"/>
      <w:marBottom w:val="0"/>
      <w:divBdr>
        <w:top w:val="none" w:sz="0" w:space="0" w:color="auto"/>
        <w:left w:val="none" w:sz="0" w:space="0" w:color="auto"/>
        <w:bottom w:val="none" w:sz="0" w:space="0" w:color="auto"/>
        <w:right w:val="none" w:sz="0" w:space="0" w:color="auto"/>
      </w:divBdr>
    </w:div>
    <w:div w:id="559484054">
      <w:bodyDiv w:val="1"/>
      <w:marLeft w:val="0"/>
      <w:marRight w:val="0"/>
      <w:marTop w:val="0"/>
      <w:marBottom w:val="0"/>
      <w:divBdr>
        <w:top w:val="none" w:sz="0" w:space="0" w:color="auto"/>
        <w:left w:val="none" w:sz="0" w:space="0" w:color="auto"/>
        <w:bottom w:val="none" w:sz="0" w:space="0" w:color="auto"/>
        <w:right w:val="none" w:sz="0" w:space="0" w:color="auto"/>
      </w:divBdr>
    </w:div>
    <w:div w:id="725489472">
      <w:bodyDiv w:val="1"/>
      <w:marLeft w:val="0"/>
      <w:marRight w:val="0"/>
      <w:marTop w:val="0"/>
      <w:marBottom w:val="0"/>
      <w:divBdr>
        <w:top w:val="none" w:sz="0" w:space="0" w:color="auto"/>
        <w:left w:val="none" w:sz="0" w:space="0" w:color="auto"/>
        <w:bottom w:val="none" w:sz="0" w:space="0" w:color="auto"/>
        <w:right w:val="none" w:sz="0" w:space="0" w:color="auto"/>
      </w:divBdr>
    </w:div>
    <w:div w:id="792332896">
      <w:bodyDiv w:val="1"/>
      <w:marLeft w:val="0"/>
      <w:marRight w:val="0"/>
      <w:marTop w:val="0"/>
      <w:marBottom w:val="0"/>
      <w:divBdr>
        <w:top w:val="none" w:sz="0" w:space="0" w:color="auto"/>
        <w:left w:val="none" w:sz="0" w:space="0" w:color="auto"/>
        <w:bottom w:val="none" w:sz="0" w:space="0" w:color="auto"/>
        <w:right w:val="none" w:sz="0" w:space="0" w:color="auto"/>
      </w:divBdr>
    </w:div>
    <w:div w:id="89073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organgrace/Library/Containers/com.microsoft.Word/Data/Library/Application%20Support/Microsoft/Office/16.0/DTS/en-US%7bEBD3705F-F09F-AB42-A867-8D20CE28EF8B%7d/%7b257BB190-EDB7-E64B-A7DF-1DEE0E63CEAF%7dtf10002086.dotx" TargetMode="External"/></Relationship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View">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697E1617864D4E8A8F433CC3FEEC5D" ma:contentTypeVersion="2" ma:contentTypeDescription="Create a new document." ma:contentTypeScope="" ma:versionID="821901342faae4d352bb664947c16102">
  <xsd:schema xmlns:xsd="http://www.w3.org/2001/XMLSchema" xmlns:xs="http://www.w3.org/2001/XMLSchema" xmlns:p="http://schemas.microsoft.com/office/2006/metadata/properties" xmlns:ns2="0e9c98b3-e735-4016-a25d-c43c990ed65c" targetNamespace="http://schemas.microsoft.com/office/2006/metadata/properties" ma:root="true" ma:fieldsID="809d831d58382b9bb1a49e1edd5d2ef4" ns2:_="">
    <xsd:import namespace="0e9c98b3-e735-4016-a25d-c43c990ed65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9c98b3-e735-4016-a25d-c43c990ed6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DFD650-4650-44CD-8F15-C610D77D6293}"/>
</file>

<file path=customXml/itemProps2.xml><?xml version="1.0" encoding="utf-8"?>
<ds:datastoreItem xmlns:ds="http://schemas.openxmlformats.org/officeDocument/2006/customXml" ds:itemID="{35918CAE-D45A-4F9D-B5A8-BF7F328D914B}"/>
</file>

<file path=customXml/itemProps3.xml><?xml version="1.0" encoding="utf-8"?>
<ds:datastoreItem xmlns:ds="http://schemas.openxmlformats.org/officeDocument/2006/customXml" ds:itemID="{1022E920-C027-42ED-A5B0-6A9F930F2EC1}"/>
</file>

<file path=docProps/app.xml><?xml version="1.0" encoding="utf-8"?>
<Properties xmlns="http://schemas.openxmlformats.org/officeDocument/2006/extended-properties" xmlns:vt="http://schemas.openxmlformats.org/officeDocument/2006/docPropsVTypes">
  <Template>Take Notes.dotx</Template>
  <TotalTime>0</TotalTime>
  <Pages>5</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Morgan Todd</cp:lastModifiedBy>
  <cp:revision>2</cp:revision>
  <dcterms:created xsi:type="dcterms:W3CDTF">2022-04-05T02:39:00Z</dcterms:created>
  <dcterms:modified xsi:type="dcterms:W3CDTF">2022-04-05T02:39:00Z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TF10002051</vt:lpwstr>
  </property>
  <property fmtid="{D5CDD505-2E9C-101B-9397-08002B2CF9AE}" pid="3" name="ContentTypeId">
    <vt:lpwstr>0x0101002F697E1617864D4E8A8F433CC3FEEC5D</vt:lpwstr>
  </property>
</Properties>
</file>