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FAST FACTS</w:t>
      </w: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 -</w:t>
      </w:r>
    </w:p>
    <w:p w:rsidR="00000000" w:rsidDel="00000000" w:rsidP="00000000" w:rsidRDefault="00000000" w:rsidRPr="00000000" w14:paraId="00000002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Cambria" w:cs="Cambria" w:eastAsia="Cambria" w:hAnsi="Cambria"/>
          <w:b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26282a"/>
          <w:sz w:val="20"/>
          <w:szCs w:val="20"/>
          <w:rtl w:val="0"/>
        </w:rPr>
        <w:t xml:space="preserve">BALI PEACE PARK/ SURVIVORS, PERTH, AUSTRALIA</w:t>
      </w:r>
    </w:p>
    <w:p w:rsidR="00000000" w:rsidDel="00000000" w:rsidP="00000000" w:rsidRDefault="00000000" w:rsidRPr="00000000" w14:paraId="00000004">
      <w:pPr>
        <w:shd w:fill="ffffff" w:val="clear"/>
        <w:rPr>
          <w:rFonts w:ascii="Cambria" w:cs="Cambria" w:eastAsia="Cambria" w:hAnsi="Cambria"/>
          <w:color w:val="1155cc"/>
          <w:sz w:val="20"/>
          <w:szCs w:val="20"/>
          <w:u w:val="single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https://www.balipeacepark.com.au/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WHAT:</w:t>
      </w:r>
    </w:p>
    <w:p w:rsidR="00000000" w:rsidDel="00000000" w:rsidP="00000000" w:rsidRDefault="00000000" w:rsidRPr="00000000" w14:paraId="00000007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Dual campaign: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to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build a  memorial Peace Park on the site of 202 fallen civilians, who perished in a terror attack at  a popular-Australian beach resort in Bali, Indonesia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Educational resource to schools/colleges encouraging ideas on how to counter violent extremism and respond to terrorism</w:t>
      </w:r>
    </w:p>
    <w:p w:rsidR="00000000" w:rsidDel="00000000" w:rsidP="00000000" w:rsidRDefault="00000000" w:rsidRPr="00000000" w14:paraId="0000000B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WHO: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Led by survivors &amp; families of the 88 Australian fatalities, based in Perth, Western Australia. 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Key figure is Phil Britten, a (now aged 40) member of the youth football team who at 22 yo lost 7 of his teammates in the nightclub/van explosive attack.  Britten is now a motivational speaker in Australia.</w:t>
      </w:r>
    </w:p>
    <w:p w:rsidR="00000000" w:rsidDel="00000000" w:rsidP="00000000" w:rsidRDefault="00000000" w:rsidRPr="00000000" w14:paraId="0000000F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PURPOSE: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Pressure to acquire the site of the attack (the former Sari Nightclub) to convert it into a Memorial Peace Park, which is a twin effort between survivors / Australian &amp; Indonesian Govts/ local owners;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Ongoing supports/services to support ongoing healing of survivors</w:t>
      </w:r>
    </w:p>
    <w:p w:rsidR="00000000" w:rsidDel="00000000" w:rsidP="00000000" w:rsidRDefault="00000000" w:rsidRPr="00000000" w14:paraId="00000013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KEY CHALLENGE: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Keeping responses to extremism in the spotlight and pressurizing the Bali authorities to uphold justice against the perpetrators and offer no amnesty. 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Peace Park survivors are often in the media commentating on developments whenever the perpetrators get early release in Indonesia, etc</w:t>
      </w:r>
    </w:p>
    <w:p w:rsidR="00000000" w:rsidDel="00000000" w:rsidP="00000000" w:rsidRDefault="00000000" w:rsidRPr="00000000" w14:paraId="00000017">
      <w:pPr>
        <w:shd w:fill="ffffff" w:val="clea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Cambria" w:cs="Cambria" w:eastAsia="Cambria" w:hAnsi="Cambria"/>
          <w:b w:val="1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ENCOURAGEMENTS/PUBLIC ESTEEM: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Motivational speaker &amp; Bali survivor, Phil Britten is highly favourably-profiled by local/national media, particularly in his 'Undefeated' book. 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Group are seen as southern-hemisphere-based watchdogs on international justice and how institutions/governments must uphold and deliver on their promises on justice to survivors.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Prime Minister of Australia is in personal contact with group, as are all national bi-partisan figures to support their heroism and recovery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Group have positioned themselves as advocates to counter-violent extremism in educational packages in the Australasian global region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www.balipeacepark.com.au/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97E1617864D4E8A8F433CC3FEEC5D" ma:contentTypeVersion="0" ma:contentTypeDescription="Create a new document." ma:contentTypeScope="" ma:versionID="98d7a1ec56685e041c28e4ede0b65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daa9c6619a92eda99ef15cd472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38087-10E4-463B-B0F7-360B9FD32CD7}"/>
</file>

<file path=customXml/itemProps2.xml><?xml version="1.0" encoding="utf-8"?>
<ds:datastoreItem xmlns:ds="http://schemas.openxmlformats.org/officeDocument/2006/customXml" ds:itemID="{2EE7E915-7905-4A21-9A2F-AF3E4EFC234C}"/>
</file>

<file path=customXml/itemProps3.xml><?xml version="1.0" encoding="utf-8"?>
<ds:datastoreItem xmlns:ds="http://schemas.openxmlformats.org/officeDocument/2006/customXml" ds:itemID="{4E57790F-7D7A-4221-9683-15F7AA21C9C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0x0101002F697E1617864D4E8A8F433CC3FEEC5D</vt:lpwstr>
  </property>
</Properties>
</file>